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PVDC is a very good packaging material for the resistance of oxygen and water vapor. So in the meat packing field, it has an unparalleled advantage,  also widely used for oils and fats,  alcohol, pharmaceuticals, pesticides,cosmetics packaging area. It is easy compound with other materials, using in meat packaging, such as wrap film.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b/>
          <w:bCs/>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bookmarkStart w:id="0" w:name="OLE_LINK1"/>
      <w:r>
        <w:rPr>
          <w:rFonts w:hint="default" w:ascii="Arial" w:hAnsi="Arial" w:cs="Arial" w:eastAsiaTheme="minorEastAsia"/>
          <w:b/>
          <w:bCs/>
          <w:i w:val="0"/>
          <w:iCs w:val="0"/>
          <w:caps w:val="0"/>
          <w:color w:val="333333"/>
          <w:spacing w:val="0"/>
          <w:kern w:val="0"/>
          <w:sz w:val="24"/>
          <w:szCs w:val="24"/>
          <w:bdr w:val="none" w:color="auto" w:sz="0" w:space="0"/>
          <w:shd w:val="clear" w:fill="FFFFFF"/>
          <w:lang w:val="en-US" w:eastAsia="zh-CN" w:bidi="ar"/>
        </w:rPr>
        <w:t>Advantages:</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1. Low oxygen permeability, to prevent oxidative deterioration, extend the food shelf life and keep the flavor by preventing the intrusion of external smell.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2. Low moisture permeability ,to prevent product drying and taste variation in humid areas and preventing product deterioration and distortion.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3. Heat shrinkable, the film will shrink in high temperature, keep food and film close.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4. High temperature durable sterilization, the maximum temperature-resistant 130°C,can be used for the cooked meat products packaging.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5. Good printing property.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6. Oil, organic solvent-resistant property.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7. Excellent climate durability.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8. In accordance with FDA regulation, and meet food hygiene requirements.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left"/>
        <w:rPr>
          <w:rFonts w:hint="default" w:ascii="Arial" w:hAnsi="Arial" w:cs="Arial"/>
        </w:rPr>
      </w:pPr>
      <w:r>
        <w:rPr>
          <w:rFonts w:hint="default" w:ascii="Arial" w:hAnsi="Arial" w:cs="Arial" w:eastAsiaTheme="minorEastAsia"/>
          <w:b/>
          <w:bCs/>
          <w:i w:val="0"/>
          <w:iCs w:val="0"/>
          <w:caps w:val="0"/>
          <w:color w:val="333333"/>
          <w:spacing w:val="0"/>
          <w:kern w:val="0"/>
          <w:sz w:val="24"/>
          <w:szCs w:val="24"/>
          <w:bdr w:val="none" w:color="auto" w:sz="0" w:space="0"/>
          <w:shd w:val="clear" w:fill="FFFFFF"/>
          <w:lang w:val="en-US" w:eastAsia="zh-CN" w:bidi="ar"/>
        </w:rPr>
        <w:t>Main physical mechanical property:</w:t>
      </w:r>
      <w:bookmarkStart w:id="1" w:name="_GoBack"/>
      <w:bookmarkEnd w:id="1"/>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150"/>
        <w:gridCol w:w="253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568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Project</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Stretchability/MPa</w:t>
            </w: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Vertical/Horizontal, ≥</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Breaking elongation rate/%</w:t>
            </w: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Vertical/Horizontal, ≥</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Tear resistance/N</w:t>
            </w: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18"/>
                <w:szCs w:val="18"/>
                <w:bdr w:val="none" w:color="auto" w:sz="0" w:space="0"/>
                <w:lang w:val="en-US" w:eastAsia="zh-CN" w:bidi="ar"/>
              </w:rPr>
              <w:t>Vertical/Horizontal, ≥</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18"/>
                <w:szCs w:val="18"/>
                <w:bdr w:val="none" w:color="auto" w:sz="0" w:space="0"/>
                <w:lang w:val="en-US" w:eastAsia="zh-CN" w:bidi="ar"/>
              </w:rPr>
              <w:t>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Heat shrink rate/%</w:t>
            </w: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Vertical/Horizontal</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-15~-30/-15~-30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568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Moisture permeability/[g/(m</w:t>
            </w:r>
            <w:r>
              <w:rPr>
                <w:rFonts w:hint="default" w:ascii="Arial" w:hAnsi="Arial" w:cs="Arial" w:eastAsiaTheme="minorEastAsia"/>
                <w:b/>
                <w:bCs/>
                <w:kern w:val="0"/>
                <w:sz w:val="18"/>
                <w:szCs w:val="18"/>
                <w:bdr w:val="none" w:color="auto" w:sz="0" w:space="0"/>
                <w:vertAlign w:val="baseline"/>
                <w:lang w:val="en-US" w:eastAsia="zh-CN" w:bidi="ar"/>
              </w:rPr>
              <w:t>2</w:t>
            </w:r>
            <w:r>
              <w:rPr>
                <w:rFonts w:hint="default" w:ascii="Arial" w:hAnsi="Arial" w:cs="Arial" w:eastAsiaTheme="minorEastAsia"/>
                <w:b/>
                <w:bCs/>
                <w:kern w:val="0"/>
                <w:sz w:val="24"/>
                <w:szCs w:val="24"/>
                <w:bdr w:val="none" w:color="auto" w:sz="0" w:space="0"/>
                <w:lang w:val="en-US" w:eastAsia="zh-CN" w:bidi="ar"/>
              </w:rPr>
              <w:t>  ,24h)],≤</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Oxygen permeability/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[cm³/(m</w:t>
            </w:r>
            <w:r>
              <w:rPr>
                <w:rFonts w:hint="default" w:ascii="Arial" w:hAnsi="Arial" w:cs="Arial" w:eastAsiaTheme="minorEastAsia"/>
                <w:b/>
                <w:bCs/>
                <w:kern w:val="0"/>
                <w:sz w:val="18"/>
                <w:szCs w:val="18"/>
                <w:bdr w:val="none" w:color="auto" w:sz="0" w:space="0"/>
                <w:vertAlign w:val="baseline"/>
                <w:lang w:val="en-US" w:eastAsia="zh-CN" w:bidi="ar"/>
              </w:rPr>
              <w:t>2</w:t>
            </w:r>
            <w:r>
              <w:rPr>
                <w:rFonts w:hint="default" w:ascii="Arial" w:hAnsi="Arial" w:cs="Arial" w:eastAsiaTheme="minorEastAsia"/>
                <w:b/>
                <w:bCs/>
                <w:kern w:val="0"/>
                <w:sz w:val="24"/>
                <w:szCs w:val="24"/>
                <w:bdr w:val="none" w:color="auto" w:sz="0" w:space="0"/>
                <w:lang w:val="en-US" w:eastAsia="zh-CN" w:bidi="ar"/>
              </w:rPr>
              <w:t>/24h 0.1MPa)],  ≤</w:t>
            </w: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Inside printing casing</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50" w:type="dxa"/>
            <w:vMerge w:val="continue"/>
            <w:shd w:val="clear" w:color="auto" w:fill="FFFFFF"/>
            <w:vAlign w:val="center"/>
          </w:tcPr>
          <w:p>
            <w:pPr>
              <w:rPr>
                <w:rFonts w:hint="default" w:ascii="Arial" w:hAnsi="Arial" w:cs="Arial"/>
                <w:sz w:val="24"/>
                <w:szCs w:val="24"/>
              </w:rPr>
            </w:pP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Upper printing casing</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3150" w:type="dxa"/>
            <w:vMerge w:val="continue"/>
            <w:shd w:val="clear" w:color="auto" w:fill="FFFFFF"/>
            <w:vAlign w:val="center"/>
          </w:tcPr>
          <w:p>
            <w:pPr>
              <w:rPr>
                <w:rFonts w:hint="default" w:ascii="Arial" w:hAnsi="Arial" w:cs="Arial"/>
                <w:sz w:val="24"/>
                <w:szCs w:val="24"/>
              </w:rPr>
            </w:pPr>
          </w:p>
        </w:tc>
        <w:tc>
          <w:tcPr>
            <w:tcW w:w="253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non-printing casing</w:t>
            </w:r>
          </w:p>
        </w:tc>
        <w:tc>
          <w:tcPr>
            <w:tcW w:w="17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Arial" w:hAnsi="Arial" w:cs="Arial"/>
              </w:rPr>
            </w:pPr>
            <w:r>
              <w:rPr>
                <w:rFonts w:hint="default" w:ascii="Arial" w:hAnsi="Arial" w:cs="Arial" w:eastAsiaTheme="minorEastAsia"/>
                <w:b/>
                <w:bCs/>
                <w:kern w:val="0"/>
                <w:sz w:val="24"/>
                <w:szCs w:val="24"/>
                <w:bdr w:val="none" w:color="auto" w:sz="0" w:space="0"/>
                <w:lang w:val="en-US" w:eastAsia="zh-CN" w:bidi="ar"/>
              </w:rPr>
              <w:t>22.0</w:t>
            </w:r>
          </w:p>
        </w:tc>
      </w:tr>
    </w:tbl>
    <w:p>
      <w:r>
        <w:rPr>
          <w:rFonts w:hint="default" w:ascii="Arial" w:hAnsi="Arial" w:eastAsia="宋体" w:cs="Arial"/>
          <w:i w:val="0"/>
          <w:iCs w:val="0"/>
          <w:caps w:val="0"/>
          <w:color w:val="333333"/>
          <w:spacing w:val="0"/>
          <w:sz w:val="21"/>
          <w:szCs w:val="21"/>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YjI5MmJjMTVjYTM0NjQ1ZTIzYmE4Y2MxMmQ5OTEifQ=="/>
  </w:docVars>
  <w:rsids>
    <w:rsidRoot w:val="024F3BDC"/>
    <w:rsid w:val="024F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2022-04-30T03:56:00Z</dcterms:created>
  <dc:creator>静待花开</dc:creator>
  <cp:lastModifiedBy>静待花开</cp:lastModifiedBy>
  <dcterms:modified xsi:type="dcterms:W3CDTF">2022-04-30T04:01:36Z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BBF35EDD5E0F44EF9307643A4043C244</vt:lpwstr>
  </property>
</Properties>
</file>